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DE9" w14:textId="1B6BD062" w:rsidR="00AD4893" w:rsidRPr="00AD4893" w:rsidRDefault="0090271C" w:rsidP="00AD48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Қосымша</w:t>
      </w:r>
      <w:proofErr w:type="spellEnd"/>
    </w:p>
    <w:p w14:paraId="6049F46E" w14:textId="72F385E5" w:rsidR="00AD4893" w:rsidRDefault="0090271C" w:rsidP="00AD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90271C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медициналық сақтандыру қоры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9027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КЕАҚ құрылымдық бөлімшелеріне 2022 жылғы 29 қыркүйектегі №9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ҚКК</w:t>
      </w:r>
      <w:r w:rsidRPr="009027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отырысының хаттамасын бекіту</w:t>
      </w:r>
    </w:p>
    <w:p w14:paraId="5D4A0666" w14:textId="77777777" w:rsidR="0090271C" w:rsidRDefault="0090271C" w:rsidP="00AD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3597"/>
        <w:gridCol w:w="1760"/>
        <w:gridCol w:w="1720"/>
        <w:gridCol w:w="1907"/>
        <w:gridCol w:w="4536"/>
      </w:tblGrid>
      <w:tr w:rsidR="00A2350A" w:rsidRPr="006807AF" w14:paraId="6E8AF466" w14:textId="408370F5" w:rsidTr="00A2350A">
        <w:trPr>
          <w:jc w:val="center"/>
        </w:trPr>
        <w:tc>
          <w:tcPr>
            <w:tcW w:w="509" w:type="dxa"/>
            <w:vAlign w:val="center"/>
          </w:tcPr>
          <w:p w14:paraId="44D2ED6D" w14:textId="77777777" w:rsidR="00A2350A" w:rsidRPr="006807AF" w:rsidRDefault="00A2350A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597" w:type="dxa"/>
            <w:vAlign w:val="center"/>
          </w:tcPr>
          <w:p w14:paraId="6AEB4A4F" w14:textId="3B3D5438" w:rsidR="00A2350A" w:rsidRPr="006807AF" w:rsidRDefault="00A2350A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Іс-шараның</w:t>
            </w:r>
            <w:proofErr w:type="spellEnd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760" w:type="dxa"/>
            <w:vAlign w:val="center"/>
          </w:tcPr>
          <w:p w14:paraId="5F8E9F20" w14:textId="45527408" w:rsidR="00A2350A" w:rsidRPr="006807AF" w:rsidRDefault="00A2350A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Аяқтау</w:t>
            </w:r>
            <w:proofErr w:type="spellEnd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1720" w:type="dxa"/>
            <w:vAlign w:val="center"/>
          </w:tcPr>
          <w:p w14:paraId="7D7B7426" w14:textId="497DFE59" w:rsidR="00A2350A" w:rsidRPr="006807AF" w:rsidRDefault="00A2350A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Орындау</w:t>
            </w:r>
            <w:proofErr w:type="spellEnd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07" w:type="dxa"/>
            <w:vAlign w:val="center"/>
          </w:tcPr>
          <w:p w14:paraId="0423DABB" w14:textId="1E59973A" w:rsidR="00A2350A" w:rsidRPr="0090271C" w:rsidRDefault="00A2350A" w:rsidP="00902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ҚБ</w:t>
            </w:r>
          </w:p>
        </w:tc>
        <w:tc>
          <w:tcPr>
            <w:tcW w:w="4536" w:type="dxa"/>
            <w:vAlign w:val="center"/>
          </w:tcPr>
          <w:p w14:paraId="0D915095" w14:textId="75628DCC" w:rsidR="00A2350A" w:rsidRPr="006807AF" w:rsidRDefault="00A2350A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027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Орындау</w:t>
            </w:r>
            <w:proofErr w:type="spellEnd"/>
          </w:p>
        </w:tc>
      </w:tr>
      <w:tr w:rsidR="00A2350A" w:rsidRPr="006807AF" w14:paraId="0FA0789C" w14:textId="1ACD14FC" w:rsidTr="00A2350A">
        <w:trPr>
          <w:jc w:val="center"/>
        </w:trPr>
        <w:tc>
          <w:tcPr>
            <w:tcW w:w="509" w:type="dxa"/>
            <w:vAlign w:val="center"/>
          </w:tcPr>
          <w:p w14:paraId="63CEDD4C" w14:textId="77777777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7" w:type="dxa"/>
            <w:vAlign w:val="center"/>
          </w:tcPr>
          <w:p w14:paraId="062434BA" w14:textId="6520C4A9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көмекті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алуға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қатысудың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ашықтығын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қаражаттың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бөлінуін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теңгерімдеу</w:t>
            </w:r>
            <w:proofErr w:type="spellEnd"/>
          </w:p>
        </w:tc>
        <w:tc>
          <w:tcPr>
            <w:tcW w:w="1760" w:type="dxa"/>
            <w:vAlign w:val="center"/>
          </w:tcPr>
          <w:p w14:paraId="3607867B" w14:textId="58BA77B6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59BEFE64" w14:textId="27115504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0F3216C7" w14:textId="5B48D789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</w:t>
            </w:r>
          </w:p>
        </w:tc>
        <w:tc>
          <w:tcPr>
            <w:tcW w:w="4536" w:type="dxa"/>
            <w:vMerge w:val="restart"/>
          </w:tcPr>
          <w:p w14:paraId="776CF7D3" w14:textId="41DB8DBE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ДСМ-242/2020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сақтандыру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Қағидаларының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қағидалары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)17-тармағына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ТМККК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қаражат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Қағидалардың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19-тармағының 10)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тармақшасында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жағдайларды</w:t>
            </w:r>
            <w:proofErr w:type="spellEnd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қоспағанда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қарашадағы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сақтандыру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көрсететін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есебін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қағидаларын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сепке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қағидасы</w:t>
            </w:r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№ ҚР ДСМ – 186/2020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көрсетуге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үміткер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дерекқорына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енгізілген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әрі-дерекқор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асырылады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C4F37" w14:textId="30A0DC17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қағидаларына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базасына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әртүрлі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меншік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нысанындағы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негіздерде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асырылады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27CAAC" w14:textId="69323171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ағидаларының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48 –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тармағына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көлемдерін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бөлуді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-комиссия)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мыналарды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асырады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96EC38" w14:textId="272F490E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ТМККК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стационарлық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стационарды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алмастыратын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басқармасы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төсек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бейіндері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бөлінісінде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келісілген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төсектердің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қоса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алғанда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қуаты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F101FA" w14:textId="62BA8180" w:rsidR="00A2350A" w:rsidRPr="006807AF" w:rsidRDefault="00A2350A" w:rsidP="0074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2)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қолжетімділігін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сипаттайтын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сақтаудың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жүйелерінен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жүйелерден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деректерді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E5A14B" w14:textId="0FE2A943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3)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шарттық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міндеттемелер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мониторингінің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шарттары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қызметтердің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69B368" w14:textId="30F67B66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4)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егін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шарты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талаптарының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орындалуына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қағидаларын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міндетін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атқарушының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ДСМ-321/2020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расталған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өткен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қолжетімділігіне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шағымдардың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болмауы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медициналық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сақтандыру</w:t>
            </w:r>
            <w:proofErr w:type="spellEnd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ED89F8" w14:textId="77777777" w:rsidR="00A2350A" w:rsidRDefault="00A2350A" w:rsidP="00C20E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6)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аккредиттеу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қағидаларын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ДСМ-299/2020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саласында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аккредиттеудің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неғұрлым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жоғары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санатының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болуы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тең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14:paraId="1D70F672" w14:textId="63891C46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7)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науқанының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(МСАК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қызметтерінің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AB44CA" w14:textId="397088F1" w:rsidR="00A2350A" w:rsidRPr="006807AF" w:rsidRDefault="00A2350A" w:rsidP="00C20E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Осылайша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қолданыстағы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заңнамаға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сәйкес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ТМККК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шеңберінде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немесе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МӘМС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жүйесінде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көмек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орналастыру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кезінде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мемлекеттік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сектордың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ұйымдары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үшін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қандай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бір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артықшылықтар</w:t>
            </w:r>
            <w:proofErr w:type="spellEnd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жоқ</w:t>
            </w:r>
            <w:proofErr w:type="spellEnd"/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6893CE6" w14:textId="2BFB9E1D" w:rsidR="00A2350A" w:rsidRPr="009B5115" w:rsidRDefault="00A2350A" w:rsidP="009B5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Сонымен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қатар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стандартталған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тәсілдерді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жүйелеу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қолдану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бөлудің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ашықтығын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критерийлері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жеткізушілерді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процесінің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порталында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ресімдеу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автоматтандыру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ұйымның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төсек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қоры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техника)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кезең-кезеңмен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бастады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Осыған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Басқармасының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шешімімен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веб-порталы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режимде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қаражат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ұсынымдар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(№45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бекітілді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Ұсынымдық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сипаттағы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ұсынымдар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өйткені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ДСМ-242/2020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қағидаларына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бөлуді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енсаулық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асырады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Осыған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сының</w:t>
            </w: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шешімімен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веб-порталы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қаражат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ұсынымдар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(№45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ұсынымдар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бекітілді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ДСМ-242/2020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бұйрығы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сәйкес,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қағидаларына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996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асырады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46C41EF5" w14:textId="49F21C0B" w:rsidR="00A2350A" w:rsidRPr="006807AF" w:rsidRDefault="00A2350A" w:rsidP="009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ұсынымдармен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индикаторларының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тізбесі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ұйымның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бағасын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нысаналы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көрсеткіштерін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айқындау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жоспарымен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бөлінісінде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ұйымның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қабілетін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көлемдерін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алгоритмі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айқындалды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E47711" w14:textId="12B8D6B3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бөлудің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изнес-процесі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қадамдарды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қамтиды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B8ADC1" w14:textId="7121A8D6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Индикаторларды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дереккөздерді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деректерді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қолданыстағы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НҚА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ДСДМБ</w:t>
            </w: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(ҚР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EE9237" w14:textId="40A5F4E6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айқындай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түрі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берушілер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бөлінісінде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индикаторлар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баллдарын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16C1E4D" w14:textId="6988CA1E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сақтаудың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жүйелерінен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есурстарды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АЖ,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техниканы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АЖ)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алынған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төсек-орын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қорының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D32D09" w14:textId="2A4B1FCE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бағалауды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көрсеткіштерді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F73B3E5" w14:textId="3CE5D1EE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Өтінімдерді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бағалауды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бәсекелес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берушілер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бөлудің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алгоритмі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мынадай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қадамдарды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қамтиды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C93B52" w14:textId="160835CC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берушілердің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индикаторларының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балдарын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берушілерді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балдары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мынадай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шкала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бөлінеді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F59E9D" w14:textId="1A43A652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I топ-4,6-дан 5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E6BA28" w14:textId="77777777" w:rsidR="00A2350A" w:rsidRPr="009B5115" w:rsidRDefault="00A2350A" w:rsidP="009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II топ - 3,2-ден 4,5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807F7F" w14:textId="77777777" w:rsidR="00A2350A" w:rsidRPr="009B5115" w:rsidRDefault="00A2350A" w:rsidP="009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III топ-2,0-ден 3,1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A82BB7" w14:textId="77777777" w:rsidR="00A2350A" w:rsidRPr="009B5115" w:rsidRDefault="00A2350A" w:rsidP="009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 топ - 0,9-дан 1,9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8339F6" w14:textId="3DA1D9A2" w:rsidR="00A2350A" w:rsidRPr="006807AF" w:rsidRDefault="00A2350A" w:rsidP="009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V топ - 0-ден 0,8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1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536D1B" w14:textId="0677A6DA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Ранжирлеу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тобына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қабілетін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жоспарланған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көлемдерге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берушіге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8D7D60" w14:textId="574226B6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ретте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көлемдері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топтары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былайша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бөлінеді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0F9A2D" w14:textId="3F92A815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 топ-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қабілеттілігінің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80%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жоспарланған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көлемдерге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фактісі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түрлері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ұсынымдарға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айқындалған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тәсілге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E136DC" w14:textId="430B54B2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II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70%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proofErr w:type="gram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14:paraId="0F02692C" w14:textId="2BBD650E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III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60%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proofErr w:type="gram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14:paraId="6A8968E4" w14:textId="144B215D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IV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50%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proofErr w:type="gram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14:paraId="0365AB47" w14:textId="7BB616FD" w:rsidR="00A2350A" w:rsidRPr="006807AF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V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25%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6883E7" w14:textId="782FBA88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қызметтердің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бөлінбеген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min-ден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тобының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басымдығын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берушілерге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қалдығын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жүргізіледі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992F34" w14:textId="51C10C48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ретте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Max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көлемдері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топтары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былайша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бөлінеді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4C9CC1" w14:textId="45AD5005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95%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B268716" w14:textId="3D1765E8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II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85%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, факт);</w:t>
            </w:r>
          </w:p>
          <w:p w14:paraId="30190AD8" w14:textId="3531FCE2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III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75%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фактілер</w:t>
            </w:r>
            <w:proofErr w:type="spellEnd"/>
            <w:proofErr w:type="gram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14:paraId="42B84118" w14:textId="6BC69A39" w:rsidR="00A2350A" w:rsidRPr="006807AF" w:rsidRDefault="00A2350A" w:rsidP="001451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IV топ-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ӨҚ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65%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, факт).</w:t>
            </w:r>
          </w:p>
          <w:p w14:paraId="48AACB82" w14:textId="77777777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350A" w:rsidRPr="006807AF" w14:paraId="6BDADF49" w14:textId="5B4E0A66" w:rsidTr="00A2350A">
        <w:trPr>
          <w:jc w:val="center"/>
        </w:trPr>
        <w:tc>
          <w:tcPr>
            <w:tcW w:w="509" w:type="dxa"/>
            <w:vAlign w:val="center"/>
          </w:tcPr>
          <w:p w14:paraId="1A3FA183" w14:textId="77777777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97" w:type="dxa"/>
            <w:vAlign w:val="center"/>
          </w:tcPr>
          <w:p w14:paraId="1623D1D8" w14:textId="7B60036A" w:rsidR="00A2350A" w:rsidRPr="006807AF" w:rsidRDefault="00A2350A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аккредиттеудің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болуын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ескеру</w:t>
            </w:r>
            <w:proofErr w:type="spellEnd"/>
          </w:p>
        </w:tc>
        <w:tc>
          <w:tcPr>
            <w:tcW w:w="1760" w:type="dxa"/>
            <w:vAlign w:val="center"/>
          </w:tcPr>
          <w:p w14:paraId="7736083C" w14:textId="57CD78B8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6EE6CB8C" w14:textId="35168CC9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271BAD7A" w14:textId="3929D79B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МҚСҰД, МККМЖД, ӨДМД</w:t>
            </w:r>
          </w:p>
        </w:tc>
        <w:tc>
          <w:tcPr>
            <w:tcW w:w="4536" w:type="dxa"/>
            <w:vMerge/>
          </w:tcPr>
          <w:p w14:paraId="5BF1D287" w14:textId="673D95D3" w:rsidR="00A2350A" w:rsidRPr="006807AF" w:rsidRDefault="00A2350A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350A" w:rsidRPr="006807AF" w14:paraId="7BAE5487" w14:textId="67267F53" w:rsidTr="00A2350A">
        <w:trPr>
          <w:jc w:val="center"/>
        </w:trPr>
        <w:tc>
          <w:tcPr>
            <w:tcW w:w="509" w:type="dxa"/>
            <w:vAlign w:val="center"/>
          </w:tcPr>
          <w:p w14:paraId="46B4D5AD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597" w:type="dxa"/>
            <w:vAlign w:val="center"/>
          </w:tcPr>
          <w:p w14:paraId="227625E4" w14:textId="436B29FE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Өткен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кезеңдермен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салыстырғанда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қаржыландыру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дәрі-дәрмектер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жабдықтардың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бағасын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</w:p>
        </w:tc>
        <w:tc>
          <w:tcPr>
            <w:tcW w:w="1760" w:type="dxa"/>
            <w:vAlign w:val="center"/>
          </w:tcPr>
          <w:p w14:paraId="29985FB7" w14:textId="442DA44F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559CB8AF" w14:textId="35D514C4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7865FD2B" w14:textId="6218685B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МҚСҰД, МККМЖД, ӨДМД, ДДҚД</w:t>
            </w:r>
          </w:p>
        </w:tc>
        <w:tc>
          <w:tcPr>
            <w:tcW w:w="4536" w:type="dxa"/>
          </w:tcPr>
          <w:p w14:paraId="4AEF7DC6" w14:textId="1A6C52D2" w:rsidR="00A2350A" w:rsidRPr="00145106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ДОЗМП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құзыретіне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кірмейді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тарифтер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бюджетті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жоспарлау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мәселесі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елесі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қаржы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жылына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дәрілік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заттарға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қажеттілікті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амбулаториялық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дәрі-дәрмекпен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дәрілік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заттар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бұйымдардың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бағалары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алынады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өйткені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шекті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бағаларды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0A" w:rsidRPr="006807AF" w14:paraId="297C6427" w14:textId="60B900FA" w:rsidTr="00A2350A">
        <w:trPr>
          <w:jc w:val="center"/>
        </w:trPr>
        <w:tc>
          <w:tcPr>
            <w:tcW w:w="509" w:type="dxa"/>
            <w:vAlign w:val="center"/>
          </w:tcPr>
          <w:p w14:paraId="69EDAD43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97" w:type="dxa"/>
            <w:vAlign w:val="center"/>
          </w:tcPr>
          <w:p w14:paraId="5E1CC4AC" w14:textId="48C6E55E" w:rsidR="00A2350A" w:rsidRPr="00216B53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қайраткерлерд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тәуелсіз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сарапшыларды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енсаулық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саласының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өкілдерін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конкурстық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құрамына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енгіз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1760" w:type="dxa"/>
            <w:vAlign w:val="center"/>
          </w:tcPr>
          <w:p w14:paraId="10B1D274" w14:textId="17A292B0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10E3690F" w14:textId="49D6C2ED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7F4231C6" w14:textId="4EC01529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МҚСҰД, МККМЖД</w:t>
            </w:r>
          </w:p>
        </w:tc>
        <w:tc>
          <w:tcPr>
            <w:tcW w:w="4536" w:type="dxa"/>
          </w:tcPr>
          <w:p w14:paraId="6E9DD855" w14:textId="68F5BD0B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ДСМ-242/2020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сақтандыру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қағидаларының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10-тармағына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субъектілерін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құрамы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айқындалды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Қордың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әкімшісінің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шешімімен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өкілдер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қатарынан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қалыптастырылады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E10E95" w14:textId="77777777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Қордың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91895" w14:textId="15F6C9EA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     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ордың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комиссиясының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құрамына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уәкілетті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A2BEB6" w14:textId="77777777" w:rsidR="00A2350A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     3)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әкімшісі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жанындағы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құрамына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басқармасының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7941EFA" w14:textId="748D9A10" w:rsidR="00A2350A" w:rsidRPr="006807AF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Кәсіпкерлер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Палатасы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proofErr w:type="gram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ҰКП</w:t>
            </w:r>
            <w:proofErr w:type="gram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пациенттердің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қызметкерлерінің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– ҮЕҰ)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мүдделерін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үкіметтік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752281" w14:textId="50A607D2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5)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әкімшісінің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жанындағы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комиссияның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құрамына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аумақтық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бөлімшесінің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74DD0" w14:textId="6737CA49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6)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0A" w:rsidRPr="006807AF" w14:paraId="0BC4943A" w14:textId="7A20F9FA" w:rsidTr="00A2350A">
        <w:trPr>
          <w:jc w:val="center"/>
        </w:trPr>
        <w:tc>
          <w:tcPr>
            <w:tcW w:w="509" w:type="dxa"/>
            <w:vAlign w:val="center"/>
          </w:tcPr>
          <w:p w14:paraId="241B0350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97" w:type="dxa"/>
            <w:vAlign w:val="center"/>
          </w:tcPr>
          <w:p w14:paraId="3B5AD10E" w14:textId="797BF208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рейтингін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тетігін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түсіндіру</w:t>
            </w:r>
            <w:proofErr w:type="spellEnd"/>
          </w:p>
        </w:tc>
        <w:tc>
          <w:tcPr>
            <w:tcW w:w="1760" w:type="dxa"/>
            <w:vAlign w:val="center"/>
          </w:tcPr>
          <w:p w14:paraId="2612DA62" w14:textId="7E8B406B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3C50A257" w14:textId="2E25489D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7C70BB0B" w14:textId="6E9245A9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</w:t>
            </w:r>
          </w:p>
        </w:tc>
        <w:tc>
          <w:tcPr>
            <w:tcW w:w="4536" w:type="dxa"/>
          </w:tcPr>
          <w:p w14:paraId="30E2C2F7" w14:textId="69582BF1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веб-порталы (№45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ұсынымдар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қаражат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ұсынымдарға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рейтингі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режимде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0 (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нөлден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) 5 (бес)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шкала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балының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мөлшеріне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айқындалады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6554B8" w14:textId="77777777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I топ-4,6-дан 5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FF0FB" w14:textId="77777777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II топ - 3,2-ден 4,5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CBABB" w14:textId="77777777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III топ-2,0-ден 3,1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1460D8" w14:textId="77777777" w:rsidR="00A2350A" w:rsidRPr="00145106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IV топ - 0,9-дан 1,9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1A1981" w14:textId="61D3E7D4" w:rsidR="00A2350A" w:rsidRPr="006807AF" w:rsidRDefault="00A2350A" w:rsidP="0014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V топ - 0-ден 0,8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0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512EE0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97AC5" w14:textId="77777777" w:rsidR="00A2350A" w:rsidRDefault="00A2350A" w:rsidP="00FD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режимде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көлемдерді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рейтингтік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балының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порталында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көрсетуге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үміткер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индикаторларының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балдары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бұдан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- индикатор)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есептеледі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22EEB8" w14:textId="3D40AB13" w:rsidR="00A2350A" w:rsidRPr="00C9092D" w:rsidRDefault="00A2350A" w:rsidP="00FD4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субъектісінің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индикаторлары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порталындағы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дерекқорында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қамтылған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сақтаудың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жүйелерінің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деректері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субъектісі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есептеледі</w:t>
            </w:r>
            <w:proofErr w:type="spellEnd"/>
            <w:r w:rsidRPr="00FD4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2350A" w:rsidRPr="006807AF" w14:paraId="71C337EB" w14:textId="7D2CEF44" w:rsidTr="00A2350A">
        <w:trPr>
          <w:jc w:val="center"/>
        </w:trPr>
        <w:tc>
          <w:tcPr>
            <w:tcW w:w="509" w:type="dxa"/>
            <w:vAlign w:val="center"/>
          </w:tcPr>
          <w:p w14:paraId="0F773909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97" w:type="dxa"/>
            <w:vAlign w:val="center"/>
          </w:tcPr>
          <w:p w14:paraId="6BD3B814" w14:textId="03D641DC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Жалпыға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бірдей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рейтингін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мүмкіндігін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</w:p>
        </w:tc>
        <w:tc>
          <w:tcPr>
            <w:tcW w:w="1760" w:type="dxa"/>
            <w:vAlign w:val="center"/>
          </w:tcPr>
          <w:p w14:paraId="3449BEBE" w14:textId="07B9B00C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0C275306" w14:textId="0F9004B3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5BA8B20B" w14:textId="0BE9F978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ДМРР, ДИТ</w:t>
            </w:r>
          </w:p>
        </w:tc>
        <w:tc>
          <w:tcPr>
            <w:tcW w:w="4536" w:type="dxa"/>
          </w:tcPr>
          <w:p w14:paraId="3FE40F85" w14:textId="31A7B4AB" w:rsidR="00A2350A" w:rsidRPr="001171B3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Бүгінгі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көрсетуге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үміткер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рейтингі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80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https://fms.ecc.kz/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порталында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уәкілетті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пайдаланушыларға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>қолжетімді</w:t>
            </w:r>
            <w:proofErr w:type="spellEnd"/>
            <w:r w:rsidRPr="0011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50A" w:rsidRPr="006807AF" w14:paraId="0E8FA9DE" w14:textId="2B34390F" w:rsidTr="00A2350A">
        <w:trPr>
          <w:jc w:val="center"/>
        </w:trPr>
        <w:tc>
          <w:tcPr>
            <w:tcW w:w="509" w:type="dxa"/>
            <w:vAlign w:val="center"/>
          </w:tcPr>
          <w:p w14:paraId="69453019" w14:textId="77777777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97" w:type="dxa"/>
            <w:vAlign w:val="center"/>
          </w:tcPr>
          <w:p w14:paraId="1E53277F" w14:textId="280E96B6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Бірыңғай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шартқа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стационарлық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, КД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МСАК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қызметтерін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ұсынуды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біріктіру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мәселесін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</w:p>
        </w:tc>
        <w:tc>
          <w:tcPr>
            <w:tcW w:w="1760" w:type="dxa"/>
            <w:vAlign w:val="center"/>
          </w:tcPr>
          <w:p w14:paraId="771EE2A3" w14:textId="68A53154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76E98D8F" w14:textId="6DB51A38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78E89B03" w14:textId="029CC39E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МҚСҰД, ӨДМД, МККМЖД</w:t>
            </w:r>
          </w:p>
        </w:tc>
        <w:tc>
          <w:tcPr>
            <w:tcW w:w="4536" w:type="dxa"/>
          </w:tcPr>
          <w:p w14:paraId="0D7DC2D4" w14:textId="25686006" w:rsidR="00A2350A" w:rsidRPr="00AC75A7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Бүгінгі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ДСМ-291/2020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) МӘМС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субъектілерінің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қызметтеріне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ақы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төлеу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қағидаларына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шарттар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ҚР ДСМ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«МҚСБЖ»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АЖ,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БЖТ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АЖ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«ОНЭТ»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АЖ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жүргізілетіндіктен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стационарлық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МСАК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қызметтерін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бірыңғай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шартқа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біріктіру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мүмкін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AC7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2350A" w:rsidRPr="006807AF" w14:paraId="26AA8220" w14:textId="2CA7F258" w:rsidTr="00A2350A">
        <w:trPr>
          <w:jc w:val="center"/>
        </w:trPr>
        <w:tc>
          <w:tcPr>
            <w:tcW w:w="509" w:type="dxa"/>
            <w:vAlign w:val="center"/>
          </w:tcPr>
          <w:p w14:paraId="38747327" w14:textId="552D68F3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97" w:type="dxa"/>
            <w:vAlign w:val="center"/>
          </w:tcPr>
          <w:p w14:paraId="66728046" w14:textId="747CC060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медицинасы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жаһандық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мәселесін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</w:p>
        </w:tc>
        <w:tc>
          <w:tcPr>
            <w:tcW w:w="1760" w:type="dxa"/>
            <w:vAlign w:val="center"/>
          </w:tcPr>
          <w:p w14:paraId="51AFE6DA" w14:textId="7C05BC19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643828D6" w14:textId="49F3E260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59838C4E" w14:textId="47E643FE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МҚСҰД, МККМЖД, ӨДМД, ТБД</w:t>
            </w:r>
          </w:p>
        </w:tc>
        <w:tc>
          <w:tcPr>
            <w:tcW w:w="4536" w:type="dxa"/>
          </w:tcPr>
          <w:p w14:paraId="3572CCC3" w14:textId="3E48A44A" w:rsidR="00A2350A" w:rsidRDefault="00A2350A" w:rsidP="00216B53">
            <w:pPr>
              <w:spacing w:line="256" w:lineRule="auto"/>
              <w:jc w:val="both"/>
            </w:pP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Қазақстан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Республикасы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Денсаулық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сақтау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министрінің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2020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жылғы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20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желтоқсандағы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№ ҚР ДСМ – 291/2020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бұйрығымен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бекітілген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Тегін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медициналық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көмектің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кепілдік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берілген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көлемі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(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>бұдан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>әрі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 xml:space="preserve"> – ТМККК</w:t>
            </w:r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)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шеңберінде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lastRenderedPageBreak/>
              <w:t>және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(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немесе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)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міндетті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әлеуметтік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медициналық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сақтандыру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жүйесінде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(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>бұдан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>әрі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  <w:lang w:val="ru-RU"/>
              </w:rPr>
              <w:t>-МӘМС</w:t>
            </w:r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)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Денсаулық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сақтау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субъектілерінің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қызметтеріне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ақы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төлеу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қағидаларының</w:t>
            </w:r>
            <w:proofErr w:type="spellEnd"/>
            <w:r w:rsidRPr="00463206">
              <w:rPr>
                <w:rFonts w:ascii="Times New Roman" w:hAnsi="Times New Roman"/>
                <w:sz w:val="28"/>
                <w:lang w:val="ru-RU"/>
              </w:rPr>
              <w:t xml:space="preserve"> 134-тармағына </w:t>
            </w:r>
            <w:proofErr w:type="spellStart"/>
            <w:r w:rsidRPr="00463206">
              <w:rPr>
                <w:rFonts w:ascii="Times New Roman" w:hAnsi="Times New Roman"/>
                <w:sz w:val="28"/>
                <w:lang w:val="ru-RU"/>
              </w:rPr>
              <w:t>сәйкес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қызмет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көрсету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үшін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ақы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төлеу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арналған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кешенді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жан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басына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шаққандағы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норматив </w:t>
            </w:r>
            <w:r w:rsidRPr="00463206">
              <w:rPr>
                <w:rFonts w:ascii="Times New Roman" w:hAnsi="Times New Roman"/>
                <w:i/>
                <w:iCs/>
                <w:sz w:val="28"/>
              </w:rPr>
              <w:t>(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</w:rPr>
              <w:t>бұдан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</w:rPr>
              <w:t>әрі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</w:rPr>
              <w:t xml:space="preserve"> –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</w:rPr>
              <w:t>ауыл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</w:rPr>
              <w:t>халқына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i/>
                <w:iCs/>
                <w:sz w:val="28"/>
              </w:rPr>
              <w:t>арналған</w:t>
            </w:r>
            <w:proofErr w:type="spellEnd"/>
            <w:r w:rsidRPr="00463206">
              <w:rPr>
                <w:rFonts w:ascii="Times New Roman" w:hAnsi="Times New Roman"/>
                <w:i/>
                <w:iCs/>
                <w:sz w:val="28"/>
              </w:rPr>
              <w:t xml:space="preserve"> К</w:t>
            </w:r>
            <w:r w:rsidRPr="00463206">
              <w:rPr>
                <w:rFonts w:ascii="Times New Roman" w:hAnsi="Times New Roman"/>
                <w:i/>
                <w:iCs/>
                <w:sz w:val="28"/>
                <w:lang w:val="kk-KZ"/>
              </w:rPr>
              <w:t>ЖН</w:t>
            </w:r>
            <w:r w:rsidRPr="00463206">
              <w:rPr>
                <w:rFonts w:ascii="Times New Roman" w:hAnsi="Times New Roman"/>
                <w:i/>
                <w:iCs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жүзеге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асырылады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ол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мыналарды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қамтиды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көрсету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қағидаларына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сәйкес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ТМККК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шеңберінде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көрсетілетін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қызметтер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тізбесі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амбулаториялық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стационарды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алмастыратын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жағдайларда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бекітілген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үйде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МСАК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қызметтерінің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кешенін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мамандандырылған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көмекті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қамтамасыз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ету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Осылайша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көмекті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қаржыландыру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қызметтерді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сатып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алу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шартында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көзделген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сома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шегінде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жаһандық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бюджет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lastRenderedPageBreak/>
              <w:t>шеңберінде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lang w:val="kk-KZ"/>
              </w:rPr>
              <w:t>ЖН</w:t>
            </w:r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жүзеге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асырылады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көрсетілген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қызметтер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көлеміне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тәуелді</w:t>
            </w:r>
            <w:proofErr w:type="spellEnd"/>
            <w:r w:rsidRPr="0046320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/>
                <w:sz w:val="28"/>
              </w:rPr>
              <w:t>емес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24F62E15" w14:textId="068BE2C8" w:rsidR="00A2350A" w:rsidRDefault="00A2350A" w:rsidP="00216B53">
            <w:pPr>
              <w:spacing w:line="256" w:lineRule="auto"/>
              <w:jc w:val="both"/>
            </w:pPr>
            <w:r>
              <w:rPr>
                <w:color w:val="1E1E1E"/>
              </w:rPr>
              <w:t>  </w:t>
            </w:r>
            <w: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Ауыл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халқына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көмек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көрсеткені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үшін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тарифтерді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есептеу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8"/>
                <w:lang w:val="kk-KZ"/>
              </w:rPr>
              <w:t>БХТ</w:t>
            </w:r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АЖ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деректері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8"/>
                <w:lang w:val="kk-KZ"/>
              </w:rPr>
              <w:t>бекіті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лген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ауыл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халқын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есептегенде</w:t>
            </w:r>
            <w:proofErr w:type="spellEnd"/>
            <w:r>
              <w:rPr>
                <w:rFonts w:ascii="Times New Roman" w:hAnsi="Times New Roman"/>
                <w:color w:val="1E1E1E"/>
                <w:sz w:val="28"/>
                <w:lang w:val="kk-KZ"/>
              </w:rPr>
              <w:t xml:space="preserve"> «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Тегін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көмектің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кепілдік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берілген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көлемі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шеңберінде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және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(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немесе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)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міндетті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әлеуметтік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сақтандыру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жүйесінде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көрсетілетін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қызметтерге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тарифтерді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қалыптастыру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қағидалары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мен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әдістемесін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бекіту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1E1E1E"/>
                <w:sz w:val="28"/>
                <w:lang w:val="kk-KZ"/>
              </w:rPr>
              <w:t>»</w:t>
            </w:r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Қазақстан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Республикасы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Денсаулық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сақтау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министрінің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2020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жылғы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21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желтоқсандағы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№ ҚР ДСМ-309/2020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бұйрығының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8-параграфына </w:t>
            </w:r>
            <w:proofErr w:type="spellStart"/>
            <w:r w:rsidRPr="0081678E">
              <w:rPr>
                <w:rFonts w:ascii="Times New Roman" w:hAnsi="Times New Roman"/>
                <w:color w:val="1E1E1E"/>
                <w:sz w:val="28"/>
              </w:rPr>
              <w:t>сәйкес</w:t>
            </w:r>
            <w:proofErr w:type="spellEnd"/>
            <w:r w:rsidRPr="0081678E">
              <w:rPr>
                <w:rFonts w:ascii="Times New Roman" w:hAnsi="Times New Roman"/>
                <w:color w:val="1E1E1E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8"/>
                <w:lang w:val="kk-KZ"/>
              </w:rPr>
              <w:t>жүзеге асырылады</w:t>
            </w:r>
            <w:r w:rsidRPr="0081678E">
              <w:rPr>
                <w:rFonts w:ascii="Times New Roman" w:hAnsi="Times New Roman"/>
                <w:color w:val="1E1E1E"/>
                <w:sz w:val="28"/>
              </w:rPr>
              <w:t>.</w:t>
            </w:r>
            <w:r>
              <w:t xml:space="preserve">   </w:t>
            </w:r>
            <w:r w:rsidRPr="0081678E">
              <w:rPr>
                <w:rFonts w:ascii="Times New Roman" w:hAnsi="Times New Roman"/>
                <w:sz w:val="28"/>
              </w:rPr>
              <w:t xml:space="preserve">МӘМС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жүйесінде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тұрғындарына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көмекке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ақы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төлеу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тарифтер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нақты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көрсетілген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lastRenderedPageBreak/>
              <w:t>қызметтер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жүзеге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асырылады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13529CAB" w14:textId="06B423AF" w:rsidR="00A2350A" w:rsidRDefault="00A2350A" w:rsidP="00216B53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proofErr w:type="spellStart"/>
            <w:r w:rsidRPr="0081678E">
              <w:rPr>
                <w:rFonts w:ascii="Times New Roman" w:hAnsi="Times New Roman"/>
                <w:sz w:val="28"/>
              </w:rPr>
              <w:t>шығын</w:t>
            </w:r>
            <w:proofErr w:type="spellEnd"/>
            <w:r>
              <w:rPr>
                <w:rFonts w:ascii="Times New Roman" w:hAnsi="Times New Roman"/>
                <w:sz w:val="28"/>
                <w:lang w:val="kk-KZ"/>
              </w:rPr>
              <w:t>ның</w:t>
            </w:r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сыйымдылық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коэффициентін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ескере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отырып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клиникалық-шығын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топтары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бұдан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әрі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kk-KZ"/>
              </w:rPr>
              <w:t>КШТ</w:t>
            </w:r>
            <w:r w:rsidRPr="0081678E">
              <w:rPr>
                <w:rFonts w:ascii="Times New Roman" w:hAnsi="Times New Roman"/>
                <w:sz w:val="28"/>
              </w:rPr>
              <w:t xml:space="preserve">)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емделген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жағдай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үшін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63511912" w14:textId="1C6DBC49" w:rsidR="00A2350A" w:rsidRDefault="00A2350A" w:rsidP="00216B53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proofErr w:type="spellStart"/>
            <w:r w:rsidRPr="0081678E">
              <w:rPr>
                <w:rFonts w:ascii="Times New Roman" w:hAnsi="Times New Roman"/>
                <w:sz w:val="28"/>
              </w:rPr>
              <w:t>аурулардың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операциялардың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манипуляциялардың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тізбесі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нақты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шығыстар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емделген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жағдай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үшін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393BB649" w14:textId="6ECE1051" w:rsidR="00A2350A" w:rsidRDefault="00A2350A" w:rsidP="00216B53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төсек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күні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үшін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;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есептелген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орташа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құны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емделген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жағдай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үшін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42CCD3D4" w14:textId="66F01E87" w:rsidR="00A2350A" w:rsidRDefault="00A2350A" w:rsidP="00216B53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медициналық-экономикалық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тарифтер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емделген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жағдай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үшін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31899311" w14:textId="74BF5251" w:rsidR="00A2350A" w:rsidRDefault="00A2350A" w:rsidP="00216B53">
            <w:pPr>
              <w:spacing w:line="256" w:lineRule="auto"/>
              <w:jc w:val="both"/>
            </w:pPr>
            <w:r>
              <w:t xml:space="preserve">  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сайын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ТМККК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шеңберінде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МӘМС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жүйесінде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ауылдық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медицинаны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қаржыландыру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ұлғаяды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сондықтан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орталық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аудандық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ауруханаларда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lastRenderedPageBreak/>
              <w:t>көмектен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басқа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алғашқы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медициналық-санитарлық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консультациялық-диагностикалық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оңалту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амбулаториялық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гемодиализ,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паллиативтік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басқа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да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қызметтер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көрсетіледі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>.</w:t>
            </w:r>
            <w:r>
              <w:t xml:space="preserve">  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Мәселен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ТМККК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шеңберінде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қаржыландырудың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өсуі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2022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жылмен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салыстырғанда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2019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фактісіне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қарағанда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67% - </w:t>
            </w:r>
            <w:r>
              <w:rPr>
                <w:rFonts w:ascii="Times New Roman" w:hAnsi="Times New Roman"/>
                <w:sz w:val="28"/>
                <w:lang w:val="kk-KZ"/>
              </w:rPr>
              <w:t>ды</w:t>
            </w:r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құрады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сондай-ақ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МӘМС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жүйесін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енгізумен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ТМККК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МӘМС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пакеттерінің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жиынтық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бюджетінің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өсуі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153% - </w:t>
            </w:r>
            <w:r>
              <w:rPr>
                <w:rFonts w:ascii="Times New Roman" w:hAnsi="Times New Roman"/>
                <w:sz w:val="28"/>
                <w:lang w:val="kk-KZ"/>
              </w:rPr>
              <w:t>ды</w:t>
            </w:r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құрады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бұл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ретте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ғана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2020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жылмен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салыстырғанда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2019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жылдың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нақты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орындалуына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өсім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29% -</w:t>
            </w:r>
            <w:r>
              <w:rPr>
                <w:rFonts w:ascii="Times New Roman" w:hAnsi="Times New Roman"/>
                <w:sz w:val="28"/>
                <w:lang w:val="kk-KZ"/>
              </w:rPr>
              <w:t>ды</w:t>
            </w:r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құрады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, ал 2021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жылға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қарай-72%.</w:t>
            </w:r>
          </w:p>
          <w:p w14:paraId="05DBCDD8" w14:textId="19FF8C47" w:rsidR="00A2350A" w:rsidRDefault="00A2350A" w:rsidP="00216B53">
            <w:pPr>
              <w:spacing w:line="256" w:lineRule="auto"/>
              <w:jc w:val="both"/>
            </w:pPr>
            <w:r>
              <w:t xml:space="preserve">  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Осыған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байланысты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шығындар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сыйымдылығы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коэффициентін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ескере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отырып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lang w:val="kk-KZ"/>
              </w:rPr>
              <w:t>ЖН-</w:t>
            </w:r>
            <w:r w:rsidRPr="0081678E">
              <w:rPr>
                <w:rFonts w:ascii="Times New Roman" w:hAnsi="Times New Roman"/>
                <w:sz w:val="28"/>
              </w:rPr>
              <w:t xml:space="preserve"> дан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тұрғындарына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lang w:val="kk-KZ"/>
              </w:rPr>
              <w:t>ШТ</w:t>
            </w:r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бір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емделген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жағдайды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төлеуге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көшу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lastRenderedPageBreak/>
              <w:t>туралы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мәселені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қарастыру</w:t>
            </w:r>
            <w:proofErr w:type="spellEnd"/>
            <w:r w:rsidRPr="0081678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678E">
              <w:rPr>
                <w:rFonts w:ascii="Times New Roman" w:hAnsi="Times New Roman"/>
                <w:sz w:val="28"/>
              </w:rPr>
              <w:t>ұсынылады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7A36CEE8" w14:textId="1434A35E" w:rsidR="00A2350A" w:rsidRDefault="00A2350A" w:rsidP="00216B53">
            <w:pPr>
              <w:spacing w:line="256" w:lineRule="auto"/>
              <w:jc w:val="both"/>
            </w:pPr>
            <w:r>
              <w:t xml:space="preserve">  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Бұл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ретте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халқына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стационарлық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көлемін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жоспарлау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д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енсаулық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сақтау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қызметтері</w:t>
            </w:r>
            <w:proofErr w:type="spellEnd"/>
            <w:r>
              <w:rPr>
                <w:rFonts w:ascii="Times New Roman" w:hAnsi="Times New Roman"/>
                <w:sz w:val="28"/>
                <w:lang w:val="kk-KZ"/>
              </w:rPr>
              <w:t>,</w:t>
            </w:r>
            <w:r w:rsidRPr="00AD70D5">
              <w:rPr>
                <w:rFonts w:ascii="Times New Roman" w:hAnsi="Times New Roman"/>
                <w:sz w:val="28"/>
              </w:rPr>
              <w:t xml:space="preserve"> МӘМС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бюджеті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мен ТМККК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көлемдерін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жоспарлау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әдістемесіне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модельдеу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құралына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сәйкес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Халықаралық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қ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айта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қ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ұру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Д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аму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банкінің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Дүниежүзілік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банк) </w:t>
            </w:r>
            <w:r>
              <w:rPr>
                <w:rFonts w:ascii="Times New Roman" w:hAnsi="Times New Roman"/>
                <w:sz w:val="28"/>
                <w:lang w:val="kk-KZ"/>
              </w:rPr>
              <w:t>«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Әлеуметтік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сақтандыру</w:t>
            </w:r>
            <w:proofErr w:type="spellEnd"/>
            <w:r>
              <w:rPr>
                <w:rFonts w:ascii="Times New Roman" w:hAnsi="Times New Roman"/>
                <w:sz w:val="28"/>
                <w:lang w:val="kk-KZ"/>
              </w:rPr>
              <w:t>»</w:t>
            </w:r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жобасы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шеңберінде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халықаралық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тәжірибе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негізінде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«</w:t>
            </w:r>
            <w:r w:rsidRPr="00AD70D5">
              <w:rPr>
                <w:rFonts w:ascii="Times New Roman" w:hAnsi="Times New Roman"/>
                <w:sz w:val="28"/>
              </w:rPr>
              <w:t xml:space="preserve">KPMG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Tax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and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Advisory</w:t>
            </w:r>
            <w:proofErr w:type="spellEnd"/>
            <w:r>
              <w:rPr>
                <w:rFonts w:ascii="Times New Roman" w:hAnsi="Times New Roman"/>
                <w:sz w:val="28"/>
                <w:lang w:val="kk-KZ"/>
              </w:rPr>
              <w:t>»</w:t>
            </w:r>
            <w:r w:rsidRPr="00AD70D5">
              <w:rPr>
                <w:rFonts w:ascii="Times New Roman" w:hAnsi="Times New Roman"/>
                <w:sz w:val="28"/>
              </w:rPr>
              <w:t xml:space="preserve"> ЖШС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әзірлеген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халықтың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қажеттіліктерін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бағалау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негізінде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жүргізіледі</w:t>
            </w:r>
            <w:proofErr w:type="spellEnd"/>
            <w:r>
              <w:rPr>
                <w:rFonts w:ascii="Times New Roman" w:hAnsi="Times New Roman"/>
                <w:sz w:val="28"/>
                <w:lang w:val="kk-KZ"/>
              </w:rPr>
              <w:t>.</w:t>
            </w:r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Бұл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ауыл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тұрғындарының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көмекке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қажеттілігі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жаһандық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бюджеттен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қаржыландыруға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біркелкі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көшуді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қамтамасыз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етуге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мүмкіндік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береді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>.</w:t>
            </w:r>
            <w:r>
              <w:t xml:space="preserve">  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Сондай-ақ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, ҚШТ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төлемге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көшу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ауылда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инфрақұрылымды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кадрлық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әлеуетті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дамыту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көмек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көрсетуді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ұйымдастыру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шартымен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lastRenderedPageBreak/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көмектің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қолжетімділігін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қамтамасыз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етеді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/>
              </w:rPr>
              <w:t>д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енсаулық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сақтау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субъектілері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арасында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бәсекеге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қабілетті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ортаны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ынталандырады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деп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санаймыз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>.</w:t>
            </w:r>
            <w:r>
              <w:t xml:space="preserve">  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Сонымен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қатар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көмектің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қолжетімділігін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қамтамасыз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ету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мақсатында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lang w:val="kk-KZ"/>
              </w:rPr>
              <w:t>ШТ</w:t>
            </w:r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төлемге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көшу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кезінде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күту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режимінде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төсектердің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жұмысын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қамтамасыз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ету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үшін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түзету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коэффициенттерін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енгізуді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қарастыру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ұсынылады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4208DDB4" w14:textId="32BA92CD" w:rsidR="00A2350A" w:rsidRPr="00196B46" w:rsidRDefault="00A2350A" w:rsidP="00216B53">
            <w:pPr>
              <w:spacing w:after="283" w:line="256" w:lineRule="auto"/>
              <w:jc w:val="both"/>
            </w:pPr>
            <w:r>
              <w:t>  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Сонымен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қатар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/>
              </w:rPr>
              <w:t>КШТ</w:t>
            </w:r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бойынша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төлемге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көшу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мүмкін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болмаған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жағдайда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қосарланған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қаржыландыруды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болдырмау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үшін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ТМККК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шеңберінде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және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МӘМС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жүйесінде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көрсетілуге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жататын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медициналық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қызметтердің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тізбесін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айқындау</w:t>
            </w:r>
            <w:proofErr w:type="spellEnd"/>
            <w:r w:rsidRPr="00AD70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D70D5">
              <w:rPr>
                <w:rFonts w:ascii="Times New Roman" w:hAnsi="Times New Roman"/>
                <w:sz w:val="28"/>
              </w:rPr>
              <w:t>ұсынылады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A2350A" w:rsidRPr="006807AF" w14:paraId="32B12CBC" w14:textId="692E2405" w:rsidTr="00A2350A">
        <w:trPr>
          <w:jc w:val="center"/>
        </w:trPr>
        <w:tc>
          <w:tcPr>
            <w:tcW w:w="509" w:type="dxa"/>
            <w:vAlign w:val="center"/>
          </w:tcPr>
          <w:p w14:paraId="764ECDC7" w14:textId="4A20254B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597" w:type="dxa"/>
            <w:vAlign w:val="center"/>
          </w:tcPr>
          <w:p w14:paraId="4839486C" w14:textId="298AABE0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Стоматологиялық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көмекті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шарттарға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мүмкіндігін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</w:p>
        </w:tc>
        <w:tc>
          <w:tcPr>
            <w:tcW w:w="1760" w:type="dxa"/>
            <w:vAlign w:val="center"/>
          </w:tcPr>
          <w:p w14:paraId="589C3E42" w14:textId="0CA2FA8F" w:rsidR="00A2350A" w:rsidRPr="006807AF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БҚ-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  <w:tc>
          <w:tcPr>
            <w:tcW w:w="1720" w:type="dxa"/>
            <w:vAlign w:val="center"/>
          </w:tcPr>
          <w:p w14:paraId="7D0D60CF" w14:textId="49BB27BF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1907" w:type="dxa"/>
            <w:vAlign w:val="center"/>
          </w:tcPr>
          <w:p w14:paraId="0547E88D" w14:textId="46CCCB3B" w:rsidR="00A2350A" w:rsidRPr="006807AF" w:rsidRDefault="00A2350A" w:rsidP="0021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МҚСҰД</w:t>
            </w:r>
          </w:p>
        </w:tc>
        <w:tc>
          <w:tcPr>
            <w:tcW w:w="4536" w:type="dxa"/>
          </w:tcPr>
          <w:p w14:paraId="20CB9F4C" w14:textId="5E2DB3D1" w:rsidR="00A2350A" w:rsidRPr="006807AF" w:rsidRDefault="00A2350A" w:rsidP="00216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желтоқсандағы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№ ҚР ДСМ-242/2020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көмектің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сақтандыру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субъектілерінен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қағидаларының</w:t>
            </w:r>
            <w:proofErr w:type="spellEnd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 xml:space="preserve"> 6-тармағына </w:t>
            </w:r>
            <w:proofErr w:type="spellStart"/>
            <w:r w:rsidRPr="00216B53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ТМККК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МӘМС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жоспарлары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асырылады</w:t>
            </w:r>
            <w:proofErr w:type="spellEnd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28C7A8" w14:textId="6627F350" w:rsidR="00A2350A" w:rsidRPr="00216B53" w:rsidRDefault="00A2350A" w:rsidP="0021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ТМККК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шеңберінде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және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МӘМС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жүйесінде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2023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жылға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арналған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қызметтерді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сатып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алу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жоспарының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жобасына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сәйкес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стоматологиялық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көмек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жеке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лотқа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шығарылды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Шарттар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ТМККК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шеңберінде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және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МӘМС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жүйесінде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медициналық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қызметтерді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сатып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алу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жоспарына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сәйкес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жасалатын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болады</w:t>
            </w:r>
            <w:proofErr w:type="spellEnd"/>
            <w:r w:rsidRPr="00216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14:paraId="38894E56" w14:textId="399D7FA2" w:rsidR="00887B6E" w:rsidRDefault="00887B6E">
      <w:pPr>
        <w:rPr>
          <w:rFonts w:ascii="Times New Roman" w:hAnsi="Times New Roman" w:cs="Times New Roman"/>
          <w:sz w:val="28"/>
          <w:szCs w:val="28"/>
        </w:rPr>
      </w:pPr>
    </w:p>
    <w:p w14:paraId="07770FCF" w14:textId="7201D11A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</w:rPr>
      </w:pPr>
      <w:r w:rsidRPr="005D1E77">
        <w:rPr>
          <w:rFonts w:ascii="Times New Roman" w:hAnsi="Times New Roman" w:cs="Times New Roman"/>
          <w:sz w:val="24"/>
          <w:szCs w:val="24"/>
        </w:rPr>
        <w:lastRenderedPageBreak/>
        <w:t xml:space="preserve">МҚСҰД -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</w:p>
    <w:p w14:paraId="7DA63D81" w14:textId="77777777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</w:rPr>
      </w:pPr>
      <w:r w:rsidRPr="005D1E77">
        <w:rPr>
          <w:rFonts w:ascii="Times New Roman" w:hAnsi="Times New Roman" w:cs="Times New Roman"/>
          <w:sz w:val="24"/>
          <w:szCs w:val="24"/>
        </w:rPr>
        <w:t xml:space="preserve">МККМЖД -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мониторингілеу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</w:p>
    <w:p w14:paraId="6D927EBD" w14:textId="77777777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</w:rPr>
      </w:pPr>
      <w:r w:rsidRPr="005D1E77">
        <w:rPr>
          <w:rFonts w:ascii="Times New Roman" w:hAnsi="Times New Roman" w:cs="Times New Roman"/>
          <w:sz w:val="24"/>
          <w:szCs w:val="24"/>
        </w:rPr>
        <w:t xml:space="preserve">ӨДМД -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мониторингі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</w:p>
    <w:p w14:paraId="281502AF" w14:textId="77777777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</w:rPr>
      </w:pPr>
      <w:r w:rsidRPr="005D1E77">
        <w:rPr>
          <w:rFonts w:ascii="Times New Roman" w:hAnsi="Times New Roman" w:cs="Times New Roman"/>
          <w:sz w:val="24"/>
          <w:szCs w:val="24"/>
        </w:rPr>
        <w:t xml:space="preserve">ТБД -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болжау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</w:p>
    <w:p w14:paraId="4914CE50" w14:textId="77777777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</w:rPr>
      </w:pPr>
      <w:r w:rsidRPr="005D1E77">
        <w:rPr>
          <w:rFonts w:ascii="Times New Roman" w:hAnsi="Times New Roman" w:cs="Times New Roman"/>
          <w:sz w:val="24"/>
          <w:szCs w:val="24"/>
        </w:rPr>
        <w:t xml:space="preserve">ДДҚД -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Дәрі-дәрмекпен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5D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</w:p>
    <w:p w14:paraId="6A364496" w14:textId="3E3BABA1" w:rsidR="005D1E77" w:rsidRPr="005D1E77" w:rsidRDefault="005D1E77" w:rsidP="005D1E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E77">
        <w:rPr>
          <w:rFonts w:ascii="Times New Roman" w:hAnsi="Times New Roman" w:cs="Times New Roman"/>
          <w:sz w:val="24"/>
          <w:szCs w:val="24"/>
          <w:lang w:val="ru-RU"/>
        </w:rPr>
        <w:t xml:space="preserve">АТБ - </w:t>
      </w:r>
      <w:proofErr w:type="spellStart"/>
      <w:r w:rsidRPr="005D1E77">
        <w:rPr>
          <w:rFonts w:ascii="Times New Roman" w:hAnsi="Times New Roman" w:cs="Times New Roman"/>
          <w:sz w:val="24"/>
          <w:szCs w:val="24"/>
          <w:lang w:val="ru-RU"/>
        </w:rPr>
        <w:t>Ақпараттық</w:t>
      </w:r>
      <w:proofErr w:type="spellEnd"/>
      <w:r w:rsidRPr="005D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  <w:lang w:val="ru-RU"/>
        </w:rPr>
        <w:t>технологиялар</w:t>
      </w:r>
      <w:proofErr w:type="spellEnd"/>
      <w:r w:rsidRPr="005D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1E77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</w:p>
    <w:sectPr w:rsidR="005D1E77" w:rsidRPr="005D1E77" w:rsidSect="0034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C8B1" w14:textId="77777777" w:rsidR="00481911" w:rsidRDefault="00481911" w:rsidP="00360733">
      <w:pPr>
        <w:spacing w:after="0" w:line="240" w:lineRule="auto"/>
      </w:pPr>
      <w:r>
        <w:separator/>
      </w:r>
    </w:p>
  </w:endnote>
  <w:endnote w:type="continuationSeparator" w:id="0">
    <w:p w14:paraId="577A4719" w14:textId="77777777" w:rsidR="00481911" w:rsidRDefault="00481911" w:rsidP="0036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784" w14:textId="77777777" w:rsidR="00481911" w:rsidRDefault="00481911" w:rsidP="00360733">
      <w:pPr>
        <w:spacing w:after="0" w:line="240" w:lineRule="auto"/>
      </w:pPr>
      <w:r>
        <w:separator/>
      </w:r>
    </w:p>
  </w:footnote>
  <w:footnote w:type="continuationSeparator" w:id="0">
    <w:p w14:paraId="236F3046" w14:textId="77777777" w:rsidR="00481911" w:rsidRDefault="00481911" w:rsidP="0036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C42"/>
    <w:multiLevelType w:val="multilevel"/>
    <w:tmpl w:val="65609C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C5"/>
    <w:rsid w:val="001171B3"/>
    <w:rsid w:val="00145106"/>
    <w:rsid w:val="0018557B"/>
    <w:rsid w:val="00196B46"/>
    <w:rsid w:val="001A32AD"/>
    <w:rsid w:val="00205057"/>
    <w:rsid w:val="00211F80"/>
    <w:rsid w:val="00216B53"/>
    <w:rsid w:val="003402C5"/>
    <w:rsid w:val="00360733"/>
    <w:rsid w:val="003E3762"/>
    <w:rsid w:val="00463206"/>
    <w:rsid w:val="00481911"/>
    <w:rsid w:val="005143A8"/>
    <w:rsid w:val="00523838"/>
    <w:rsid w:val="005D1E77"/>
    <w:rsid w:val="006571CD"/>
    <w:rsid w:val="00672FE8"/>
    <w:rsid w:val="006807AF"/>
    <w:rsid w:val="00742150"/>
    <w:rsid w:val="0080025F"/>
    <w:rsid w:val="00813526"/>
    <w:rsid w:val="0081678E"/>
    <w:rsid w:val="00887B6E"/>
    <w:rsid w:val="0090271C"/>
    <w:rsid w:val="00996E47"/>
    <w:rsid w:val="009B5115"/>
    <w:rsid w:val="00A2350A"/>
    <w:rsid w:val="00AC75A7"/>
    <w:rsid w:val="00AD4893"/>
    <w:rsid w:val="00AD70D5"/>
    <w:rsid w:val="00B75A9E"/>
    <w:rsid w:val="00BD1982"/>
    <w:rsid w:val="00C20EA8"/>
    <w:rsid w:val="00C9092D"/>
    <w:rsid w:val="00F27904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2C00"/>
  <w15:chartTrackingRefBased/>
  <w15:docId w15:val="{2B0C857B-C2CD-4004-BE29-5D19385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8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733"/>
  </w:style>
  <w:style w:type="paragraph" w:styleId="a7">
    <w:name w:val="footer"/>
    <w:basedOn w:val="a"/>
    <w:link w:val="a8"/>
    <w:uiPriority w:val="99"/>
    <w:unhideWhenUsed/>
    <w:rsid w:val="0036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s.ecc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25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 296</dc:creator>
  <cp:keywords/>
  <dc:description/>
  <cp:lastModifiedBy>NURSCA 296</cp:lastModifiedBy>
  <cp:revision>15</cp:revision>
  <dcterms:created xsi:type="dcterms:W3CDTF">2022-12-06T10:08:00Z</dcterms:created>
  <dcterms:modified xsi:type="dcterms:W3CDTF">2022-12-09T10:03:00Z</dcterms:modified>
</cp:coreProperties>
</file>